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>
        <w:rPr>
          <w:b/>
          <w:sz w:val="40"/>
        </w:rPr>
        <w:t>OBEC  HORNÍ  OLEŠNICE</w:t>
      </w:r>
    </w:p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>
        <w:rPr>
          <w:b/>
          <w:sz w:val="40"/>
        </w:rPr>
        <w:t>************************</w:t>
      </w:r>
    </w:p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36"/>
        </w:rPr>
      </w:pPr>
      <w:r>
        <w:rPr>
          <w:b/>
          <w:sz w:val="36"/>
        </w:rPr>
        <w:t xml:space="preserve"> OB</w:t>
      </w:r>
      <w:r w:rsidR="000F50D0">
        <w:rPr>
          <w:b/>
          <w:sz w:val="36"/>
        </w:rPr>
        <w:t>ECNĚ  ZÁVAZNÁ  VYHLÁŠKA  ČÍSLO 6</w:t>
      </w:r>
      <w:r>
        <w:rPr>
          <w:b/>
          <w:sz w:val="36"/>
        </w:rPr>
        <w:t>/2011,</w:t>
      </w:r>
    </w:p>
    <w:p w:rsidR="00EB58F7" w:rsidRPr="00EB58F7" w:rsidRDefault="00EB58F7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EB58F7" w:rsidRPr="00EB58F7" w:rsidRDefault="00EB58F7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EB58F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 MÍSTNÍM POPLATKU ZA </w:t>
      </w:r>
      <w:r w:rsidR="00EC744B" w:rsidRPr="00EC744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LÁZEŇSKÝ NEBO </w:t>
      </w:r>
      <w:r w:rsidRPr="00EB58F7">
        <w:rPr>
          <w:rFonts w:ascii="TimesNewRomanPS-BoldMT" w:hAnsi="TimesNewRomanPS-BoldMT" w:cs="TimesNewRomanPS-BoldMT"/>
          <w:b/>
          <w:bCs/>
          <w:sz w:val="28"/>
          <w:szCs w:val="28"/>
        </w:rPr>
        <w:t>REKREAČNÍ POBYT</w:t>
      </w:r>
    </w:p>
    <w:p w:rsidR="00E16FF5" w:rsidRDefault="00E16FF5" w:rsidP="00E16FF5">
      <w:r>
        <w:rPr>
          <w:rFonts w:ascii="TimesNewRomanPS-BoldMT" w:hAnsi="TimesNewRomanPS-BoldMT" w:cs="TimesNewRomanPS-BoldMT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E16FF5" w:rsidRPr="00E16FF5" w:rsidRDefault="00E16FF5" w:rsidP="00E16FF5">
      <w:pPr>
        <w:spacing w:line="288" w:lineRule="auto"/>
        <w:jc w:val="both"/>
        <w:rPr>
          <w:rFonts w:ascii="Times New Roman" w:hAnsi="Times New Roman" w:cs="Times New Roman"/>
        </w:rPr>
      </w:pPr>
      <w:r w:rsidRPr="00E16FF5">
        <w:rPr>
          <w:rFonts w:ascii="Times New Roman" w:hAnsi="Times New Roman" w:cs="Times New Roman"/>
        </w:rPr>
        <w:t xml:space="preserve">Zastupitelstvo obce Horní Olešnice se na svém zasedání dne --.--.---- usnesením č. ---/2011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Obec Horní Olešnice</w:t>
      </w:r>
      <w:r w:rsidRPr="00E16FF5">
        <w:rPr>
          <w:rFonts w:ascii="Times New Roman" w:hAnsi="Times New Roman" w:cs="Times New Roman"/>
          <w:sz w:val="24"/>
          <w:szCs w:val="24"/>
        </w:rPr>
        <w:t xml:space="preserve"> touto vyhláškou zavádí místní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poplatek z</w:t>
      </w:r>
      <w:r w:rsidR="00D74402">
        <w:rPr>
          <w:rFonts w:ascii="Times New Roman" w:hAnsi="Times New Roman" w:cs="Times New Roman"/>
          <w:sz w:val="24"/>
          <w:szCs w:val="24"/>
        </w:rPr>
        <w:t>a</w:t>
      </w:r>
      <w:r w:rsidR="00EC744B">
        <w:rPr>
          <w:rFonts w:ascii="Times New Roman" w:hAnsi="Times New Roman" w:cs="Times New Roman"/>
          <w:sz w:val="24"/>
          <w:szCs w:val="24"/>
        </w:rPr>
        <w:t xml:space="preserve"> lázeňský nebo</w:t>
      </w:r>
      <w:r w:rsidR="00D5547C">
        <w:rPr>
          <w:rFonts w:ascii="Times New Roman" w:hAnsi="Times New Roman" w:cs="Times New Roman"/>
          <w:sz w:val="24"/>
          <w:szCs w:val="24"/>
        </w:rPr>
        <w:t> rekreační pobyt</w:t>
      </w:r>
      <w:r w:rsidRPr="00E16FF5">
        <w:rPr>
          <w:rFonts w:ascii="Times New Roman" w:hAnsi="Times New Roman" w:cs="Times New Roman"/>
          <w:sz w:val="24"/>
          <w:szCs w:val="24"/>
        </w:rPr>
        <w:t xml:space="preserve"> (dále jen „poplatek“).</w:t>
      </w:r>
    </w:p>
    <w:p w:rsidR="00BB3C94" w:rsidRPr="00E16FF5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(2) Řízení o poplatcích vykonává </w:t>
      </w:r>
      <w:r>
        <w:rPr>
          <w:rFonts w:ascii="Times New Roman" w:hAnsi="Times New Roman" w:cs="Times New Roman"/>
          <w:sz w:val="24"/>
          <w:szCs w:val="24"/>
        </w:rPr>
        <w:t>Obecní úřad Horní Olešnice</w:t>
      </w:r>
      <w:r w:rsidRPr="00E16FF5">
        <w:rPr>
          <w:rFonts w:ascii="Times New Roman" w:hAnsi="Times New Roman" w:cs="Times New Roman"/>
          <w:sz w:val="24"/>
          <w:szCs w:val="24"/>
        </w:rPr>
        <w:t xml:space="preserve"> (dále jen „správce poplatku“).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75" w:rsidRPr="00982175" w:rsidRDefault="00982175" w:rsidP="009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75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982175" w:rsidRPr="00982175" w:rsidRDefault="00982175" w:rsidP="009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75">
        <w:rPr>
          <w:rFonts w:ascii="Times New Roman" w:hAnsi="Times New Roman" w:cs="Times New Roman"/>
          <w:b/>
          <w:bCs/>
          <w:sz w:val="24"/>
          <w:szCs w:val="24"/>
        </w:rPr>
        <w:t>Předmět poplatku, poplatník a plátce poplatku</w:t>
      </w:r>
    </w:p>
    <w:p w:rsidR="00982175" w:rsidRDefault="00982175" w:rsidP="0098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(1) Poplatek za rekreační pobyt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sz w:val="24"/>
          <w:szCs w:val="24"/>
        </w:rPr>
        <w:t>platí fyzické osoby, které přechodně a za úplatu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sz w:val="24"/>
          <w:szCs w:val="24"/>
        </w:rPr>
        <w:t xml:space="preserve">pobývají na území obce za účelem rekreace, pokud neprokáží jiný důvod pobytu.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BB3C94" w:rsidRPr="00982175" w:rsidRDefault="00BB3C94" w:rsidP="0098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982175" w:rsidRDefault="00982175" w:rsidP="0098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(2) Poplatek rekreační pobyt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sz w:val="24"/>
          <w:szCs w:val="24"/>
        </w:rPr>
        <w:t>stanovené výši vybere a obci odvede ubytovatel,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sz w:val="24"/>
          <w:szCs w:val="24"/>
        </w:rPr>
        <w:t>kterým je fyzická nebo právnická osoba, 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sz w:val="24"/>
          <w:szCs w:val="24"/>
        </w:rPr>
        <w:t>přechodné ubytování poskytla; tato osoba je</w:t>
      </w:r>
      <w:r>
        <w:rPr>
          <w:rFonts w:ascii="Times New Roman" w:hAnsi="Times New Roman" w:cs="Times New Roman"/>
          <w:sz w:val="24"/>
          <w:szCs w:val="24"/>
        </w:rPr>
        <w:t xml:space="preserve"> plátcem poplatku.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5C5" w:rsidRPr="00DE65C5" w:rsidRDefault="00DE65C5" w:rsidP="00DE6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C5">
        <w:rPr>
          <w:rFonts w:ascii="Times New Roman" w:hAnsi="Times New Roman" w:cs="Times New Roman"/>
          <w:sz w:val="24"/>
          <w:szCs w:val="24"/>
        </w:rPr>
        <w:t>(1) Ubytovatel (plátce) je povinen ohlásit správci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>poplatku zahájení činnosti spočívající</w:t>
      </w:r>
    </w:p>
    <w:p w:rsidR="00DE65C5" w:rsidRDefault="00DE65C5" w:rsidP="00DE6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C5">
        <w:rPr>
          <w:rFonts w:ascii="Times New Roman" w:hAnsi="Times New Roman" w:cs="Times New Roman"/>
          <w:sz w:val="24"/>
          <w:szCs w:val="24"/>
        </w:rPr>
        <w:t>v poskytování přechodného ubytování osob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>úplatu ve lhůtě do 15 dnů od zahájení této činnosti.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>Stejným způsobem a ve stejné lhůtě oznámí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>ubytovatel správci poplatku ukončení 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>spočívající v poskytování přechodného ubytování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C5">
        <w:rPr>
          <w:rFonts w:ascii="Times New Roman" w:hAnsi="Times New Roman" w:cs="Times New Roman"/>
          <w:sz w:val="24"/>
          <w:szCs w:val="24"/>
        </w:rPr>
        <w:t xml:space="preserve">za úplatu. </w:t>
      </w:r>
    </w:p>
    <w:p w:rsidR="00DE65C5" w:rsidRPr="00DE65C5" w:rsidRDefault="00DE65C5" w:rsidP="00DE6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DE6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 ohlášení poplatník (ubytovatel) uvede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73559D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a) jméno, popřípadě jména, a příjmení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název nebo obchodní firmu, obecný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identifikátor, byl-li přidělen, místo pobytu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nebo sídlo, místo podnikání, popřípadě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adresy pro doručování; právnická osoba uvede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též osoby, které jsou jejím jménem oprávněny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jednat v poplatkových věcech,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b) čísla všech svých účtů u poskytovatelů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platebních služeb, včetně poskytovatelů těchto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služeb v zahraničí, užívaných v souvislosti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podnikatelskou činností, v případě, že předmět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lastRenderedPageBreak/>
        <w:t>poplatku souvisí s podnikatelskou činností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poplatníka,</w:t>
      </w:r>
    </w:p>
    <w:p w:rsidR="00876EAA" w:rsidRDefault="00876EAA" w:rsidP="00876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EAA">
        <w:rPr>
          <w:rFonts w:ascii="Times New Roman" w:hAnsi="Times New Roman" w:cs="Times New Roman"/>
          <w:sz w:val="24"/>
          <w:szCs w:val="24"/>
        </w:rPr>
        <w:t>c) případně další údaje rozhodné pro 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AA">
        <w:rPr>
          <w:rFonts w:ascii="Times New Roman" w:hAnsi="Times New Roman" w:cs="Times New Roman"/>
          <w:sz w:val="24"/>
          <w:szCs w:val="24"/>
        </w:rPr>
        <w:t>výše poplatkové povinnosti, včetně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AA">
        <w:rPr>
          <w:rFonts w:ascii="Times New Roman" w:hAnsi="Times New Roman" w:cs="Times New Roman"/>
          <w:sz w:val="24"/>
          <w:szCs w:val="24"/>
        </w:rPr>
        <w:t>skutečností zakládajících nárok na úlevu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AA">
        <w:rPr>
          <w:rFonts w:ascii="Times New Roman" w:hAnsi="Times New Roman" w:cs="Times New Roman"/>
          <w:sz w:val="24"/>
          <w:szCs w:val="24"/>
        </w:rPr>
        <w:t>případné osvobození od poplatku.</w:t>
      </w:r>
    </w:p>
    <w:p w:rsidR="00BB3C94" w:rsidRDefault="00BB3C94" w:rsidP="00876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470515" w:rsidP="00876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 </w:t>
      </w:r>
      <w:r w:rsidR="00E16FF5" w:rsidRPr="00E16FF5">
        <w:rPr>
          <w:rFonts w:ascii="Times New Roman" w:hAnsi="Times New Roman" w:cs="Times New Roman"/>
          <w:sz w:val="24"/>
          <w:szCs w:val="24"/>
        </w:rPr>
        <w:t xml:space="preserve">(3) </w:t>
      </w:r>
      <w:r w:rsidR="00876EAA">
        <w:rPr>
          <w:rFonts w:ascii="Times New Roman" w:hAnsi="Times New Roman" w:cs="Times New Roman"/>
          <w:sz w:val="24"/>
          <w:szCs w:val="24"/>
        </w:rPr>
        <w:t>Plátce</w:t>
      </w:r>
      <w:r w:rsidR="00E16FF5" w:rsidRPr="00E16FF5">
        <w:rPr>
          <w:rFonts w:ascii="Times New Roman" w:hAnsi="Times New Roman" w:cs="Times New Roman"/>
          <w:sz w:val="24"/>
          <w:szCs w:val="24"/>
        </w:rPr>
        <w:t>, který nemá sídlo nebo bydliště na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="00E16FF5" w:rsidRPr="00E16FF5">
        <w:rPr>
          <w:rFonts w:ascii="Times New Roman" w:hAnsi="Times New Roman" w:cs="Times New Roman"/>
          <w:sz w:val="24"/>
          <w:szCs w:val="24"/>
        </w:rPr>
        <w:t>území členského státu Evropské unie, jiného</w:t>
      </w:r>
    </w:p>
    <w:p w:rsidR="00BD08EC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smluvního státu Dohody o Evropském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hospodářském prostoru nebo Švýcarské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konfederace, uvede kromě údajů požadovaných v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odstavci 2 adresu svého zmocněnce v tuzemsku pro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doručování.</w:t>
      </w:r>
      <w:r w:rsidR="00BD08E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BB3C94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(4) Dojde-li ke změně údajů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ohlášení, je poplatník povinen tuto změnu oznámit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BB3C94" w:rsidRPr="00BD08EC" w:rsidRDefault="00BB3C94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(5) Ubytovatel je povinen vést v písemné podobě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evidenční knihu, do které zapisuje dobu ubytování,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jméno, příjmení, adresu místa trvalého pobytu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místa trvalého bydliště v zahraničí a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občanského průkazu nebo cestovního dokladu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 xml:space="preserve">fyzické osoby, které ubytování poskytl. </w:t>
      </w:r>
      <w:r w:rsidR="00876EAA">
        <w:rPr>
          <w:rFonts w:ascii="Times New Roman" w:hAnsi="Times New Roman" w:cs="Times New Roman"/>
          <w:sz w:val="24"/>
          <w:szCs w:val="24"/>
        </w:rPr>
        <w:t xml:space="preserve"> Tyto z</w:t>
      </w:r>
      <w:r w:rsidRPr="00BD08EC">
        <w:rPr>
          <w:rFonts w:ascii="Times New Roman" w:hAnsi="Times New Roman" w:cs="Times New Roman"/>
          <w:sz w:val="24"/>
          <w:szCs w:val="24"/>
        </w:rPr>
        <w:t>ápisy musí být vedeny přehledně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a srozumitelně a musí být uspořádány postupně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časového hlediska.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8EC" w:rsidRPr="00876EAA" w:rsidRDefault="00BD08EC" w:rsidP="00876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 xml:space="preserve">(1) </w:t>
      </w:r>
      <w:r w:rsidR="00876EAA" w:rsidRPr="00876EAA">
        <w:rPr>
          <w:rFonts w:ascii="Times New Roman" w:hAnsi="Times New Roman" w:cs="Times New Roman"/>
          <w:sz w:val="24"/>
          <w:szCs w:val="24"/>
        </w:rPr>
        <w:t xml:space="preserve">Sazba poplatku </w:t>
      </w:r>
      <w:r w:rsidR="00876EAA">
        <w:rPr>
          <w:rFonts w:ascii="Times New Roman" w:hAnsi="Times New Roman" w:cs="Times New Roman"/>
          <w:sz w:val="24"/>
          <w:szCs w:val="24"/>
        </w:rPr>
        <w:t xml:space="preserve">za rekreační pobyt </w:t>
      </w:r>
      <w:r w:rsidR="00876EAA" w:rsidRPr="00876EAA">
        <w:rPr>
          <w:rFonts w:ascii="Times New Roman" w:hAnsi="Times New Roman" w:cs="Times New Roman"/>
          <w:sz w:val="24"/>
          <w:szCs w:val="24"/>
        </w:rPr>
        <w:t>činí za osobu a každý i</w:t>
      </w:r>
      <w:r w:rsidR="00876EAA">
        <w:rPr>
          <w:rFonts w:ascii="Times New Roman" w:hAnsi="Times New Roman" w:cs="Times New Roman"/>
          <w:sz w:val="24"/>
          <w:szCs w:val="24"/>
        </w:rPr>
        <w:t xml:space="preserve"> </w:t>
      </w:r>
      <w:r w:rsidR="00876EAA" w:rsidRPr="00876EAA">
        <w:rPr>
          <w:rFonts w:ascii="Times New Roman" w:hAnsi="Times New Roman" w:cs="Times New Roman"/>
          <w:sz w:val="24"/>
          <w:szCs w:val="24"/>
        </w:rPr>
        <w:t>započatý den pobytu, není-li tento dnem příchodu</w:t>
      </w:r>
      <w:r w:rsidR="00876EAA">
        <w:rPr>
          <w:rFonts w:ascii="Times New Roman" w:hAnsi="Times New Roman" w:cs="Times New Roman"/>
          <w:sz w:val="24"/>
          <w:szCs w:val="24"/>
        </w:rPr>
        <w:t xml:space="preserve"> 10</w:t>
      </w:r>
      <w:r w:rsidR="00876EAA" w:rsidRPr="00876EAA">
        <w:rPr>
          <w:rFonts w:ascii="Times New Roman" w:hAnsi="Times New Roman" w:cs="Times New Roman"/>
          <w:sz w:val="24"/>
          <w:szCs w:val="24"/>
        </w:rPr>
        <w:t>,- Kč.</w:t>
      </w:r>
    </w:p>
    <w:p w:rsidR="0073559D" w:rsidRPr="00BD08EC" w:rsidRDefault="0073559D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 xml:space="preserve">(1) </w:t>
      </w:r>
      <w:r w:rsidR="00D4786D" w:rsidRPr="00D4786D">
        <w:rPr>
          <w:rFonts w:ascii="Times New Roman" w:hAnsi="Times New Roman" w:cs="Times New Roman"/>
          <w:sz w:val="24"/>
          <w:szCs w:val="24"/>
        </w:rPr>
        <w:t>Ubytovatel vybrané poplatky odvede</w:t>
      </w:r>
      <w:r w:rsidR="00D4786D">
        <w:rPr>
          <w:rFonts w:ascii="TimesNewRoman" w:hAnsi="TimesNewRoman" w:cs="TimesNewRoman"/>
          <w:sz w:val="20"/>
          <w:szCs w:val="20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správci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nejpozději do 15 dnů po uplynutí příslušného</w:t>
      </w:r>
      <w:r w:rsidR="00D4786D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pololetí. Při sezónním ubytování je tento poplatek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splatný do 15. září příslušného roku. Při 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nebo přerušení ubytovací činnosti je poplatek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splatný nejpozději do 15 dnů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ukončení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přerušení ubytovací činnosti.</w:t>
      </w:r>
    </w:p>
    <w:p w:rsidR="00BB3C94" w:rsidRPr="00BD08EC" w:rsidRDefault="00BB3C94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 xml:space="preserve">(2) Ubytovatel </w:t>
      </w:r>
      <w:r w:rsidR="00D4786D">
        <w:rPr>
          <w:rFonts w:ascii="Times New Roman" w:hAnsi="Times New Roman" w:cs="Times New Roman"/>
          <w:sz w:val="24"/>
          <w:szCs w:val="24"/>
        </w:rPr>
        <w:t>odvede</w:t>
      </w:r>
      <w:r w:rsidRPr="00BD08EC">
        <w:rPr>
          <w:rFonts w:ascii="Times New Roman" w:hAnsi="Times New Roman" w:cs="Times New Roman"/>
          <w:sz w:val="24"/>
          <w:szCs w:val="24"/>
        </w:rPr>
        <w:t xml:space="preserve"> vybrané poplatky na účet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správce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a) bezhotovostním převodem z účtu vedeného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poskytovatele platebních služeb na příslušný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účet správce daně,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b)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08EC">
        <w:rPr>
          <w:rFonts w:ascii="Times New Roman" w:hAnsi="Times New Roman" w:cs="Times New Roman"/>
          <w:sz w:val="24"/>
          <w:szCs w:val="24"/>
        </w:rPr>
        <w:t>hotovosti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- prostřednictvím poskytovatele platebních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služeb nebo poštovním poukazem na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příslušný účet správce daně,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- úřední osobě pověřené přijímat tyto platby,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přičemž součet plateb na všechny druhy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daně za jeden daňový subjekt nesmí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v průběhu jednoho kalendářního dne u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jednoho správce daně přesáhnout částku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500 000 Kč.</w:t>
      </w:r>
      <w:r w:rsidR="00593529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BB3C94" w:rsidRPr="00BD08EC" w:rsidRDefault="00BB3C94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(3) Číslo účtu a variabilní symbol pro každého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ubytovatele určí správce poplatku.</w:t>
      </w:r>
    </w:p>
    <w:p w:rsidR="00BD08EC" w:rsidRDefault="00BD08EC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490" w:rsidRDefault="001C0490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3C94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3C94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Pr="00E16FF5" w:rsidRDefault="00E16FF5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6</w:t>
      </w:r>
    </w:p>
    <w:p w:rsidR="00E16FF5" w:rsidRDefault="00E16FF5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Osvobození</w:t>
      </w:r>
    </w:p>
    <w:p w:rsidR="00BD08EC" w:rsidRPr="00E16FF5" w:rsidRDefault="00BD08EC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Pr="00E16FF5" w:rsidRDefault="00E16FF5" w:rsidP="003A0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(1) </w:t>
      </w:r>
      <w:r w:rsidR="003A0552" w:rsidRPr="003A0552">
        <w:rPr>
          <w:rFonts w:ascii="Times New Roman" w:hAnsi="Times New Roman" w:cs="Times New Roman"/>
          <w:sz w:val="24"/>
          <w:szCs w:val="24"/>
        </w:rPr>
        <w:t>Poplatku za lázeňský nebo rekreační pobyt nepodléhají:</w:t>
      </w:r>
    </w:p>
    <w:p w:rsidR="00F01719" w:rsidRPr="00F01719" w:rsidRDefault="00F01719" w:rsidP="00F0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19">
        <w:rPr>
          <w:rFonts w:ascii="Times New Roman" w:hAnsi="Times New Roman" w:cs="Times New Roman"/>
          <w:sz w:val="24"/>
          <w:szCs w:val="24"/>
        </w:rPr>
        <w:t>a) osoby nevidomé, bezmocné a osoby s těžkým zdravotním postižením, kterým byl přiznán</w:t>
      </w:r>
    </w:p>
    <w:p w:rsidR="00F01719" w:rsidRPr="00F01719" w:rsidRDefault="00F01719" w:rsidP="00F0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19">
        <w:rPr>
          <w:rFonts w:ascii="Times New Roman" w:hAnsi="Times New Roman" w:cs="Times New Roman"/>
          <w:sz w:val="24"/>
          <w:szCs w:val="24"/>
        </w:rPr>
        <w:t>III. stupeň mimořádných výhod podle zvláštního právního předpisu, a jejich průvodci,</w:t>
      </w:r>
    </w:p>
    <w:p w:rsidR="0073559D" w:rsidRPr="00F01719" w:rsidRDefault="00F01719" w:rsidP="00F0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19">
        <w:rPr>
          <w:rFonts w:ascii="Times New Roman" w:hAnsi="Times New Roman" w:cs="Times New Roman"/>
          <w:sz w:val="24"/>
          <w:szCs w:val="24"/>
        </w:rPr>
        <w:t>b) osoby mladší 18 let a starší 70 let nebo osoby, na které náležejí přídavky na děti výchovné).</w:t>
      </w:r>
    </w:p>
    <w:p w:rsidR="00F01719" w:rsidRDefault="00F01719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(1) Nebudou-li poplatky </w:t>
      </w:r>
      <w:r w:rsidR="00F01719">
        <w:rPr>
          <w:rFonts w:ascii="Times New Roman" w:hAnsi="Times New Roman" w:cs="Times New Roman"/>
          <w:sz w:val="24"/>
          <w:szCs w:val="24"/>
        </w:rPr>
        <w:t>odvedeny</w:t>
      </w:r>
      <w:r w:rsidRPr="00E16FF5">
        <w:rPr>
          <w:rFonts w:ascii="Times New Roman" w:hAnsi="Times New Roman" w:cs="Times New Roman"/>
          <w:sz w:val="24"/>
          <w:szCs w:val="24"/>
        </w:rPr>
        <w:t xml:space="preserve"> </w:t>
      </w:r>
      <w:r w:rsidR="00F01719">
        <w:rPr>
          <w:rFonts w:ascii="Times New Roman" w:hAnsi="Times New Roman" w:cs="Times New Roman"/>
          <w:sz w:val="24"/>
          <w:szCs w:val="24"/>
        </w:rPr>
        <w:t>plátcem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včas nebo ve správné výši, vyměří mu městský úřad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poplatek platebním výměrem</w:t>
      </w:r>
      <w:r w:rsidR="00F01719">
        <w:rPr>
          <w:rFonts w:ascii="Times New Roman" w:hAnsi="Times New Roman" w:cs="Times New Roman"/>
          <w:sz w:val="24"/>
          <w:szCs w:val="24"/>
        </w:rPr>
        <w:t xml:space="preserve"> v přímé úhradě</w:t>
      </w:r>
      <w:r w:rsidR="00A84175">
        <w:rPr>
          <w:rFonts w:ascii="Times New Roman" w:hAnsi="Times New Roman" w:cs="Times New Roman"/>
          <w:sz w:val="24"/>
          <w:szCs w:val="24"/>
        </w:rPr>
        <w:t>, nebo hromadným předpisným seznamem</w:t>
      </w:r>
      <w:r w:rsidRPr="00E16FF5">
        <w:rPr>
          <w:rFonts w:ascii="Times New Roman" w:hAnsi="Times New Roman" w:cs="Times New Roman"/>
          <w:sz w:val="24"/>
          <w:szCs w:val="24"/>
        </w:rPr>
        <w:t>.</w:t>
      </w:r>
      <w:r w:rsidR="0073559D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BB3C94" w:rsidRPr="00E16FF5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Včas nezaplacené nebo neodvedené poplatky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 xml:space="preserve">nebo část těchto poplatků může </w:t>
      </w:r>
      <w:r w:rsidR="0073559D">
        <w:rPr>
          <w:rFonts w:ascii="Times New Roman" w:hAnsi="Times New Roman" w:cs="Times New Roman"/>
          <w:sz w:val="24"/>
          <w:szCs w:val="24"/>
        </w:rPr>
        <w:t>obecní</w:t>
      </w:r>
      <w:r w:rsidRPr="00E16FF5">
        <w:rPr>
          <w:rFonts w:ascii="Times New Roman" w:hAnsi="Times New Roman" w:cs="Times New Roman"/>
          <w:sz w:val="24"/>
          <w:szCs w:val="24"/>
        </w:rPr>
        <w:t xml:space="preserve"> úřad zvýšit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až na trojnásobek; toto zvýšení je příslušenstvím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poplatku.</w:t>
      </w:r>
      <w:r w:rsidR="0073559D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1C0490" w:rsidRPr="00E16FF5" w:rsidRDefault="001C0490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Správa poplatku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O řízení ve věcech poplatků platí zvláštní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předpisy,</w:t>
      </w:r>
      <w:r w:rsidR="00A84175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11 pokud není zákonem o místních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poplatcích stanoveno jinak.</w:t>
      </w:r>
    </w:p>
    <w:p w:rsidR="00BB3C94" w:rsidRPr="00E16FF5" w:rsidRDefault="00BB3C94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Vznikla-li poplatková povinnost k</w:t>
      </w:r>
      <w:r w:rsidR="0073559D">
        <w:rPr>
          <w:rFonts w:ascii="Times New Roman" w:hAnsi="Times New Roman" w:cs="Times New Roman"/>
          <w:sz w:val="24"/>
          <w:szCs w:val="24"/>
        </w:rPr>
        <w:t> </w:t>
      </w:r>
      <w:r w:rsidRPr="00E16FF5">
        <w:rPr>
          <w:rFonts w:ascii="Times New Roman" w:hAnsi="Times New Roman" w:cs="Times New Roman"/>
          <w:sz w:val="24"/>
          <w:szCs w:val="24"/>
        </w:rPr>
        <w:t>místnímu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poplatku z ubytovací kapacity před účinností této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obecně závazné vyhlášky, postupuje se podle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dosavadních právních předpisů.</w:t>
      </w:r>
    </w:p>
    <w:p w:rsidR="001C0490" w:rsidRPr="00E16FF5" w:rsidRDefault="001C0490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9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Zrušuje se obecně závazná vyhláška č.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4/2003 o místním poplatku z ubytovací kapacity</w:t>
      </w:r>
    </w:p>
    <w:p w:rsidR="0073559D" w:rsidRPr="00E16FF5" w:rsidRDefault="0073559D" w:rsidP="00E16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 20. 10</w:t>
      </w:r>
      <w:r w:rsidR="00E16FF5" w:rsidRPr="00E16FF5">
        <w:rPr>
          <w:rFonts w:ascii="Times New Roman" w:hAnsi="Times New Roman" w:cs="Times New Roman"/>
          <w:sz w:val="24"/>
          <w:szCs w:val="24"/>
        </w:rPr>
        <w:t>. 2003.</w:t>
      </w: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:rsidR="00E16FF5" w:rsidRDefault="00E16FF5" w:rsidP="007355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E57FFB" w:rsidRDefault="00E57FFB" w:rsidP="00E57FFB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vyhláška nabývá účinnosti </w:t>
      </w:r>
      <w:r w:rsidRPr="00E57FFB">
        <w:rPr>
          <w:rFonts w:ascii="Times New Roman" w:hAnsi="Times New Roman" w:cs="Times New Roman"/>
        </w:rPr>
        <w:t>patnáctým dnem po dni vyhlášení.</w:t>
      </w:r>
    </w:p>
    <w:p w:rsidR="00BB3C94" w:rsidRDefault="00E57FFB" w:rsidP="00E57FF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</w:r>
    </w:p>
    <w:p w:rsidR="00E57FFB" w:rsidRPr="000E560D" w:rsidRDefault="00E57FFB" w:rsidP="00E57FF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</w:r>
    </w:p>
    <w:p w:rsidR="00E57FFB" w:rsidRPr="000E560D" w:rsidRDefault="00E57FFB" w:rsidP="00E57FF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  <w:t xml:space="preserve">   ...................................</w:t>
      </w:r>
      <w:r w:rsidRPr="000E560D">
        <w:rPr>
          <w:i/>
          <w:sz w:val="22"/>
          <w:szCs w:val="22"/>
        </w:rPr>
        <w:tab/>
        <w:t xml:space="preserve">    ..........................................</w:t>
      </w:r>
    </w:p>
    <w:p w:rsidR="00E57FFB" w:rsidRPr="000E560D" w:rsidRDefault="00E57FFB" w:rsidP="00E57FFB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  <w:t xml:space="preserve"> Marcela Linková</w:t>
      </w:r>
      <w:r w:rsidRPr="000E560D">
        <w:rPr>
          <w:sz w:val="22"/>
          <w:szCs w:val="22"/>
        </w:rPr>
        <w:tab/>
        <w:t>Ing. Milan Nosek</w:t>
      </w: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</w:r>
      <w:r>
        <w:rPr>
          <w:sz w:val="22"/>
          <w:szCs w:val="22"/>
        </w:rPr>
        <w:t xml:space="preserve">      s</w:t>
      </w:r>
      <w:r w:rsidRPr="000E560D">
        <w:rPr>
          <w:sz w:val="22"/>
          <w:szCs w:val="22"/>
        </w:rPr>
        <w:t xml:space="preserve">tarostka                                                                </w:t>
      </w:r>
      <w:r>
        <w:rPr>
          <w:sz w:val="22"/>
          <w:szCs w:val="22"/>
        </w:rPr>
        <w:t xml:space="preserve">          </w:t>
      </w:r>
      <w:r w:rsidRPr="000E560D">
        <w:rPr>
          <w:sz w:val="22"/>
          <w:szCs w:val="22"/>
        </w:rPr>
        <w:t xml:space="preserve">          místostarosta</w:t>
      </w: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Vyvěšeno na úřední desce dne:</w:t>
      </w:r>
    </w:p>
    <w:p w:rsidR="00E57FFB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Sejmuto z úřední desky dne:</w:t>
      </w:r>
    </w:p>
    <w:p w:rsidR="00E57FFB" w:rsidRPr="00E16FF5" w:rsidRDefault="00E57FFB" w:rsidP="007355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7FFB" w:rsidRPr="00E16FF5" w:rsidSect="005E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A5" w:rsidRDefault="00D64DA5" w:rsidP="00E16FF5">
      <w:pPr>
        <w:spacing w:after="0" w:line="240" w:lineRule="auto"/>
      </w:pPr>
      <w:r>
        <w:separator/>
      </w:r>
    </w:p>
  </w:endnote>
  <w:endnote w:type="continuationSeparator" w:id="1">
    <w:p w:rsidR="00D64DA5" w:rsidRDefault="00D64DA5" w:rsidP="00E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A5" w:rsidRDefault="00D64DA5" w:rsidP="00E16FF5">
      <w:pPr>
        <w:spacing w:after="0" w:line="240" w:lineRule="auto"/>
      </w:pPr>
      <w:r>
        <w:separator/>
      </w:r>
    </w:p>
  </w:footnote>
  <w:footnote w:type="continuationSeparator" w:id="1">
    <w:p w:rsidR="00D64DA5" w:rsidRDefault="00D64DA5" w:rsidP="00E16FF5">
      <w:pPr>
        <w:spacing w:after="0" w:line="240" w:lineRule="auto"/>
      </w:pPr>
      <w:r>
        <w:continuationSeparator/>
      </w:r>
    </w:p>
  </w:footnote>
  <w:footnote w:id="2">
    <w:p w:rsidR="00E16FF5" w:rsidRDefault="00E16FF5" w:rsidP="00E16FF5">
      <w:pPr>
        <w:autoSpaceDE w:val="0"/>
        <w:autoSpaceDN w:val="0"/>
        <w:adjustRightInd w:val="0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 odst. 3 zákona č. 565/1990 Sb., o místních poplatcích, ve znění pozdějších předpisů (dále jen „zákon o místních poplatcích“)</w:t>
      </w:r>
    </w:p>
  </w:footnote>
  <w:footnote w:id="3">
    <w:p w:rsidR="00982175" w:rsidRDefault="009821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§ 3 odst. 1 zákona o místních poplatcích</w:t>
      </w:r>
    </w:p>
  </w:footnote>
  <w:footnote w:id="4">
    <w:p w:rsidR="00982175" w:rsidRDefault="00982175" w:rsidP="00982175">
      <w:pPr>
        <w:pStyle w:val="Textpoznpodarou"/>
      </w:pPr>
      <w:r>
        <w:rPr>
          <w:rFonts w:ascii="TimesNewRoman" w:hAnsi="TimesNewRoman" w:cs="TimesNewRoman"/>
          <w:sz w:val="12"/>
          <w:szCs w:val="12"/>
        </w:rPr>
        <w:t xml:space="preserve">3) </w:t>
      </w:r>
      <w:r>
        <w:rPr>
          <w:rFonts w:ascii="TimesNewRoman" w:hAnsi="TimesNewRoman" w:cs="TimesNewRoman"/>
          <w:sz w:val="18"/>
          <w:szCs w:val="18"/>
        </w:rPr>
        <w:t>§ 3 odst. 3 zákona o místních poplatcích</w:t>
      </w:r>
    </w:p>
  </w:footnote>
  <w:footnote w:id="5">
    <w:p w:rsidR="00E16FF5" w:rsidRDefault="00E16F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3 </w:t>
      </w:r>
      <w:r>
        <w:rPr>
          <w:rFonts w:ascii="TimesNewRoman" w:hAnsi="TimesNewRoman" w:cs="TimesNewRoman"/>
          <w:sz w:val="18"/>
          <w:szCs w:val="18"/>
        </w:rPr>
        <w:t>§ 14a odst. 1 zákona o místních poplatcích</w:t>
      </w:r>
    </w:p>
  </w:footnote>
  <w:footnote w:id="6">
    <w:p w:rsidR="00BD08EC" w:rsidRDefault="00BD08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2 zákona o místních poplatcích</w:t>
      </w:r>
    </w:p>
  </w:footnote>
  <w:footnote w:id="7">
    <w:p w:rsidR="00BD08EC" w:rsidRDefault="00BD08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3 zákona o místních poplatcích</w:t>
      </w:r>
    </w:p>
  </w:footnote>
  <w:footnote w:id="8">
    <w:p w:rsidR="00BD08EC" w:rsidRDefault="00BD08EC" w:rsidP="00BD08EC">
      <w:pPr>
        <w:autoSpaceDE w:val="0"/>
        <w:autoSpaceDN w:val="0"/>
        <w:adjustRightInd w:val="0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7 odst. 3 druhá věta zákona o místních poplatcích</w:t>
      </w:r>
      <w:r w:rsidR="00593529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s odkazem na § 3 odst. 4 zákona o místních poplatcích</w:t>
      </w:r>
    </w:p>
  </w:footnote>
  <w:footnote w:id="9">
    <w:p w:rsidR="00593529" w:rsidRDefault="005935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163 odst. 3 zákona č. 280/2009, daňový řád</w:t>
      </w:r>
    </w:p>
  </w:footnote>
  <w:footnote w:id="10">
    <w:p w:rsidR="0073559D" w:rsidRDefault="00735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1 zákona o místních poplatcích</w:t>
      </w:r>
    </w:p>
  </w:footnote>
  <w:footnote w:id="11">
    <w:p w:rsidR="0073559D" w:rsidRDefault="00735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3 zákona o místních poplatcích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60"/>
    <w:rsid w:val="0007131D"/>
    <w:rsid w:val="00082A46"/>
    <w:rsid w:val="000F4492"/>
    <w:rsid w:val="000F50D0"/>
    <w:rsid w:val="001C0490"/>
    <w:rsid w:val="001D3B97"/>
    <w:rsid w:val="003A0552"/>
    <w:rsid w:val="003C3B3A"/>
    <w:rsid w:val="00470515"/>
    <w:rsid w:val="004E27BD"/>
    <w:rsid w:val="00593529"/>
    <w:rsid w:val="005E753C"/>
    <w:rsid w:val="00615F99"/>
    <w:rsid w:val="006C063C"/>
    <w:rsid w:val="0073559D"/>
    <w:rsid w:val="007B2B3E"/>
    <w:rsid w:val="00815451"/>
    <w:rsid w:val="00876EAA"/>
    <w:rsid w:val="00982175"/>
    <w:rsid w:val="00A84175"/>
    <w:rsid w:val="00AF22D4"/>
    <w:rsid w:val="00BB3C94"/>
    <w:rsid w:val="00BD08EC"/>
    <w:rsid w:val="00D23980"/>
    <w:rsid w:val="00D26F60"/>
    <w:rsid w:val="00D4786D"/>
    <w:rsid w:val="00D5547C"/>
    <w:rsid w:val="00D64DA5"/>
    <w:rsid w:val="00D74402"/>
    <w:rsid w:val="00D9069E"/>
    <w:rsid w:val="00DE65C5"/>
    <w:rsid w:val="00E16FF5"/>
    <w:rsid w:val="00E57FFB"/>
    <w:rsid w:val="00EB58F7"/>
    <w:rsid w:val="00EC744B"/>
    <w:rsid w:val="00F0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basedOn w:val="Normln"/>
    <w:rsid w:val="00D26F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6F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F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6FF5"/>
    <w:rPr>
      <w:vertAlign w:val="superscript"/>
    </w:rPr>
  </w:style>
  <w:style w:type="paragraph" w:styleId="Zkladntext">
    <w:name w:val="Body Text"/>
    <w:basedOn w:val="Normln"/>
    <w:link w:val="ZkladntextChar"/>
    <w:rsid w:val="00E57F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E57FFB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4458-91FC-4717-9054-55CA64C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5</cp:revision>
  <cp:lastPrinted>2011-03-18T10:41:00Z</cp:lastPrinted>
  <dcterms:created xsi:type="dcterms:W3CDTF">2011-06-22T10:50:00Z</dcterms:created>
  <dcterms:modified xsi:type="dcterms:W3CDTF">2011-06-22T10:56:00Z</dcterms:modified>
</cp:coreProperties>
</file>